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3929871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F2E5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70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0B48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F2E5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0B48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>depusă de</w:t>
      </w:r>
      <w:r w:rsidR="00821FDD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8F2E5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</w:t>
      </w:r>
      <w:r w:rsidR="00ED5AF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F2E5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ERDEI AURELIA</w:t>
      </w:r>
      <w:r w:rsidR="002E6766" w:rsidRPr="002E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0D0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E6766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8F2E5B">
        <w:rPr>
          <w:rFonts w:ascii="Times New Roman" w:hAnsi="Times New Roman" w:cs="Times New Roman"/>
          <w:sz w:val="24"/>
          <w:szCs w:val="24"/>
          <w:lang w:val="en-US"/>
        </w:rPr>
        <w:t>6100</w:t>
      </w:r>
      <w:r w:rsidR="00AB4E4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E67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E6766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F2E5B">
        <w:rPr>
          <w:rFonts w:ascii="Times New Roman" w:hAnsi="Times New Roman" w:cs="Times New Roman"/>
          <w:sz w:val="24"/>
          <w:szCs w:val="24"/>
          <w:lang w:val="en-US"/>
        </w:rPr>
        <w:t>88879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E6766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E67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E6766">
        <w:rPr>
          <w:rFonts w:ascii="Times New Roman" w:hAnsi="Times New Roman" w:cs="Times New Roman"/>
          <w:sz w:val="24"/>
          <w:szCs w:val="24"/>
          <w:lang w:val="en-US"/>
        </w:rPr>
        <w:t>adastral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F2E5B">
        <w:rPr>
          <w:rFonts w:ascii="Times New Roman" w:hAnsi="Times New Roman" w:cs="Times New Roman"/>
          <w:sz w:val="24"/>
          <w:szCs w:val="24"/>
          <w:lang w:val="en-US"/>
        </w:rPr>
        <w:t>88879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2E5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F2E5B">
        <w:rPr>
          <w:rFonts w:ascii="Times New Roman" w:hAnsi="Times New Roman" w:cs="Times New Roman"/>
          <w:sz w:val="24"/>
          <w:szCs w:val="24"/>
          <w:lang w:val="en-US"/>
        </w:rPr>
        <w:t>270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B256" w14:textId="77777777" w:rsidR="00693DFF" w:rsidRDefault="00693DFF" w:rsidP="00B04550">
      <w:pPr>
        <w:spacing w:after="0" w:line="240" w:lineRule="auto"/>
      </w:pPr>
      <w:r>
        <w:separator/>
      </w:r>
    </w:p>
  </w:endnote>
  <w:endnote w:type="continuationSeparator" w:id="0">
    <w:p w14:paraId="28E9698B" w14:textId="77777777" w:rsidR="00693DFF" w:rsidRDefault="00693DF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797F" w14:textId="77777777" w:rsidR="00693DFF" w:rsidRDefault="00693DFF" w:rsidP="00B04550">
      <w:pPr>
        <w:spacing w:after="0" w:line="240" w:lineRule="auto"/>
      </w:pPr>
      <w:r>
        <w:separator/>
      </w:r>
    </w:p>
  </w:footnote>
  <w:footnote w:type="continuationSeparator" w:id="0">
    <w:p w14:paraId="240BA409" w14:textId="77777777" w:rsidR="00693DFF" w:rsidRDefault="00693DF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43B91206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15E39">
            <w:rPr>
              <w:rFonts w:ascii="Times New Roman" w:eastAsia="Calibri" w:hAnsi="Times New Roman" w:cs="Times New Roman"/>
            </w:rPr>
            <w:t>3</w:t>
          </w:r>
          <w:r w:rsidR="008F2E5B">
            <w:rPr>
              <w:rFonts w:ascii="Times New Roman" w:eastAsia="Calibri" w:hAnsi="Times New Roman" w:cs="Times New Roman"/>
            </w:rPr>
            <w:t>7073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15E39">
            <w:rPr>
              <w:rFonts w:ascii="Times New Roman" w:eastAsia="Calibri" w:hAnsi="Times New Roman" w:cs="Times New Roman"/>
            </w:rPr>
            <w:t>1</w:t>
          </w:r>
          <w:r w:rsidR="008F2E5B">
            <w:rPr>
              <w:rFonts w:ascii="Times New Roman" w:eastAsia="Calibri" w:hAnsi="Times New Roman" w:cs="Times New Roman"/>
            </w:rPr>
            <w:t>5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E15E39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4897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D2306"/>
    <w:rsid w:val="005F1362"/>
    <w:rsid w:val="005F35AA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3DFF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2E5B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15E39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C275D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2022-12-08T14:17:00Z</cp:lastPrinted>
  <dcterms:created xsi:type="dcterms:W3CDTF">2023-06-15T13:04:00Z</dcterms:created>
  <dcterms:modified xsi:type="dcterms:W3CDTF">2023-06-15T13:04:00Z</dcterms:modified>
</cp:coreProperties>
</file>