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EA25C9" w:rsidRPr="00EA25C9">
        <w:rPr>
          <w:rStyle w:val="x-panel-header-text2"/>
          <w:rFonts w:ascii="Times New Roman" w:hAnsi="Times New Roman" w:cs="Times New Roman"/>
          <w:b w:val="0"/>
          <w:sz w:val="24"/>
          <w:szCs w:val="24"/>
        </w:rPr>
        <w:t>9</w:t>
      </w:r>
      <w:r w:rsidR="00EA25C9">
        <w:rPr>
          <w:rStyle w:val="x-panel-header-text2"/>
          <w:rFonts w:ascii="Times New Roman" w:hAnsi="Times New Roman" w:cs="Times New Roman"/>
          <w:b w:val="0"/>
          <w:sz w:val="24"/>
          <w:szCs w:val="24"/>
        </w:rPr>
        <w:t>.</w:t>
      </w:r>
      <w:bookmarkStart w:id="0" w:name="_GoBack"/>
      <w:bookmarkEnd w:id="0"/>
      <w:r w:rsidR="00EA25C9" w:rsidRPr="00EA25C9">
        <w:rPr>
          <w:rStyle w:val="x-panel-header-text2"/>
          <w:rFonts w:ascii="Times New Roman" w:hAnsi="Times New Roman" w:cs="Times New Roman"/>
          <w:b w:val="0"/>
          <w:sz w:val="24"/>
          <w:szCs w:val="24"/>
        </w:rPr>
        <w:t>740/ 18.02.2022</w:t>
      </w:r>
    </w:p>
    <w:p w:rsidR="00A73A74" w:rsidRPr="006D1D46" w:rsidRDefault="00A73A74" w:rsidP="00351B0A">
      <w:pPr>
        <w:pStyle w:val="PlainText"/>
        <w:jc w:val="both"/>
        <w:rPr>
          <w:rFonts w:ascii="Times New Roman" w:hAnsi="Times New Roman" w:cs="Times New Roman"/>
          <w:b/>
          <w:sz w:val="24"/>
          <w:szCs w:val="24"/>
        </w:rPr>
      </w:pPr>
    </w:p>
    <w:p w:rsidR="00F508E7" w:rsidRPr="006D1D46" w:rsidRDefault="00F508E7" w:rsidP="00351B0A">
      <w:pPr>
        <w:pStyle w:val="PlainText"/>
        <w:jc w:val="both"/>
        <w:rPr>
          <w:rFonts w:ascii="Times New Roman" w:hAnsi="Times New Roman" w:cs="Times New Roman"/>
          <w:b/>
          <w:sz w:val="24"/>
          <w:szCs w:val="24"/>
        </w:rPr>
      </w:pPr>
    </w:p>
    <w:p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rsidR="00D31005" w:rsidRPr="00807850" w:rsidRDefault="00D31005" w:rsidP="00351B0A">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rsidR="00E57C09" w:rsidRPr="006D1D46" w:rsidRDefault="00E57C09" w:rsidP="00351B0A">
      <w:pPr>
        <w:pStyle w:val="PlainText"/>
        <w:jc w:val="both"/>
        <w:rPr>
          <w:rFonts w:ascii="Times New Roman" w:hAnsi="Times New Roman" w:cs="Times New Roman"/>
          <w:b/>
          <w:sz w:val="24"/>
          <w:szCs w:val="24"/>
        </w:rPr>
      </w:pPr>
    </w:p>
    <w:p w:rsidR="004452C5" w:rsidRPr="006D1D46" w:rsidRDefault="004452C5" w:rsidP="00351B0A">
      <w:pPr>
        <w:pStyle w:val="PlainText"/>
        <w:jc w:val="both"/>
        <w:rPr>
          <w:rFonts w:ascii="Times New Roman" w:hAnsi="Times New Roman" w:cs="Times New Roman"/>
          <w:b/>
          <w:sz w:val="24"/>
          <w:szCs w:val="24"/>
        </w:rPr>
      </w:pPr>
    </w:p>
    <w:p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rsidR="009928CD" w:rsidRPr="006D1D46" w:rsidRDefault="001D6D04" w:rsidP="00807850">
      <w:pPr>
        <w:spacing w:after="0"/>
        <w:jc w:val="center"/>
        <w:rPr>
          <w:color w:val="202124"/>
          <w:szCs w:val="24"/>
          <w:shd w:val="clear" w:color="auto" w:fill="FFFFFF"/>
        </w:rPr>
      </w:pPr>
      <w:bookmarkStart w:id="1" w:name="_Hlk31894888"/>
      <w:r w:rsidRPr="006D1D46">
        <w:rPr>
          <w:szCs w:val="24"/>
        </w:rPr>
        <w:t>l</w:t>
      </w:r>
      <w:r w:rsidR="00121F18" w:rsidRPr="006D1D46">
        <w:rPr>
          <w:szCs w:val="24"/>
        </w:rPr>
        <w:t xml:space="preserve">a proiectul de hotărâre </w:t>
      </w:r>
      <w:r w:rsidR="00807850" w:rsidRPr="00807850">
        <w:rPr>
          <w:szCs w:val="24"/>
          <w:lang w:val="en-US"/>
        </w:rPr>
        <w:t>privind aprobarea</w:t>
      </w:r>
      <w:r w:rsidR="002F4904" w:rsidRPr="002F4904">
        <w:rPr>
          <w:szCs w:val="24"/>
          <w:lang w:val="en-US"/>
        </w:rPr>
        <w:t xml:space="preserve"> </w:t>
      </w:r>
      <w:r w:rsidR="004F4D8F">
        <w:rPr>
          <w:szCs w:val="24"/>
          <w:lang w:val="en-US"/>
        </w:rPr>
        <w:t>studiului de fezabilitate</w:t>
      </w:r>
      <w:r w:rsidR="002F4904">
        <w:rPr>
          <w:szCs w:val="24"/>
          <w:lang w:val="en-US"/>
        </w:rPr>
        <w:t xml:space="preserve"> și a</w:t>
      </w:r>
      <w:r w:rsidR="00807850" w:rsidRPr="00807850">
        <w:rPr>
          <w:szCs w:val="24"/>
          <w:lang w:val="en-US"/>
        </w:rPr>
        <w:t xml:space="preserve"> indicatorilor tehnico-economici pentru obiectivul de investiție: </w:t>
      </w:r>
      <w:r w:rsidR="00EA25C9" w:rsidRPr="00EA25C9">
        <w:rPr>
          <w:b/>
          <w:szCs w:val="24"/>
          <w:lang w:val="en-US"/>
        </w:rPr>
        <w:t>Conductă de aducțiune apă potabilă pe str. 24 Ianuarie, mun.Satu Mare</w:t>
      </w:r>
    </w:p>
    <w:bookmarkEnd w:id="1"/>
    <w:p w:rsidR="00121F18" w:rsidRDefault="00121F18" w:rsidP="00351B0A">
      <w:pPr>
        <w:spacing w:after="0"/>
        <w:jc w:val="both"/>
        <w:rPr>
          <w:szCs w:val="24"/>
        </w:rPr>
      </w:pPr>
    </w:p>
    <w:p w:rsidR="008706B5" w:rsidRPr="006D1D46" w:rsidRDefault="008706B5" w:rsidP="00351B0A">
      <w:pPr>
        <w:spacing w:after="0"/>
        <w:jc w:val="both"/>
        <w:rPr>
          <w:szCs w:val="24"/>
        </w:rPr>
      </w:pPr>
    </w:p>
    <w:p w:rsidR="00EA25C9" w:rsidRPr="00EA25C9" w:rsidRDefault="00837199" w:rsidP="00EA25C9">
      <w:pPr>
        <w:jc w:val="both"/>
        <w:rPr>
          <w:rFonts w:eastAsia="SimSun"/>
          <w:szCs w:val="24"/>
          <w:lang w:eastAsia="zh-CN"/>
        </w:rPr>
      </w:pPr>
      <w:bookmarkStart w:id="2" w:name="_Hlk31895780"/>
      <w:bookmarkStart w:id="3" w:name="_Hlk22796876"/>
      <w:r w:rsidRPr="006D1D46">
        <w:rPr>
          <w:rFonts w:eastAsia="SimSun"/>
          <w:szCs w:val="24"/>
          <w:lang w:eastAsia="zh-CN"/>
        </w:rPr>
        <w:t xml:space="preserve">            </w:t>
      </w:r>
      <w:bookmarkEnd w:id="2"/>
      <w:bookmarkEnd w:id="3"/>
      <w:r w:rsidR="00EA25C9" w:rsidRPr="00EA25C9">
        <w:rPr>
          <w:rFonts w:eastAsia="SimSun"/>
          <w:szCs w:val="24"/>
          <w:lang w:eastAsia="zh-CN"/>
        </w:rPr>
        <w:t xml:space="preserve">Proiectul vizează realizarea unei conducte de aducțiune apă potabilă pe str. 24 Ianuarie, în municipiul Satu Mare. </w:t>
      </w:r>
    </w:p>
    <w:p w:rsidR="00EA25C9" w:rsidRPr="00EA25C9" w:rsidRDefault="00EA25C9" w:rsidP="00EA25C9">
      <w:pPr>
        <w:jc w:val="both"/>
        <w:rPr>
          <w:rFonts w:eastAsia="SimSun"/>
          <w:szCs w:val="24"/>
          <w:lang w:eastAsia="zh-CN"/>
        </w:rPr>
      </w:pPr>
      <w:r w:rsidRPr="00EA25C9">
        <w:rPr>
          <w:rFonts w:eastAsia="SimSun"/>
          <w:szCs w:val="24"/>
          <w:lang w:eastAsia="zh-CN"/>
        </w:rPr>
        <w:t>Alimentarea cu apă a zonei sud, sud-est al municipiului Satu Mare, precum și a unor comune situate în apropierea municipiului, este asigurată prin două conducte de distribuție, care traversează râul Someș pe podul de fier CFR. Aceste conducte sunt ramificate de la conducta de aducțiune de la Uzina de apă Mărtinești, pe b-dul Henri Coandă, în zona pasajului CFR. În cazul unei defecțiuni pe această porțiune, toată zona sudică mai sus menționată al municipiului rămâne fără apă potabilă. Realizarea investiției are ca scop prevenirea unor astfel de situații, prin executarea unei conducte de aducțiune pe str. 24 Ianuarie, în continuarea conductei dinspre str. Strandului, conductă care va avea traseu relocat în cadrul proiectului “Pod peste râul Somes zona Strandului, in  mun. Satu Mare “. Conducta de aducțiune proiectată va fi întregită cu conducta de apă existentă în rambleul căii ferate prin intermediul unei cămin de vane.</w:t>
      </w:r>
    </w:p>
    <w:p w:rsidR="00EA25C9" w:rsidRPr="00EA25C9" w:rsidRDefault="00EA25C9" w:rsidP="00EA25C9">
      <w:pPr>
        <w:jc w:val="both"/>
        <w:rPr>
          <w:rFonts w:eastAsia="SimSun"/>
          <w:szCs w:val="24"/>
          <w:lang w:eastAsia="zh-CN"/>
        </w:rPr>
      </w:pPr>
      <w:r w:rsidRPr="00EA25C9">
        <w:rPr>
          <w:rFonts w:eastAsia="SimSun"/>
          <w:szCs w:val="24"/>
          <w:lang w:eastAsia="zh-CN"/>
        </w:rPr>
        <w:t xml:space="preserve">        Beneficiarii direcți ai acestei lucrări sunt locuitorii din zona sud, sud-estică a municipiului Satu Mare,  dar realizarea investiției( prin reîntregirea sistemului de alimentare cu apă, și asigurarea eficientă a alimentării cu apă din punct de vedere tehnic și funcțional) este benefică pentru minim 2/3 din locuitorii municipiului Satu Mare.</w:t>
      </w:r>
    </w:p>
    <w:p w:rsidR="00EA25C9" w:rsidRPr="00EA25C9" w:rsidRDefault="00EA25C9" w:rsidP="00EA25C9">
      <w:pPr>
        <w:jc w:val="both"/>
        <w:rPr>
          <w:rFonts w:eastAsia="SimSun"/>
          <w:szCs w:val="24"/>
          <w:lang w:eastAsia="zh-CN"/>
        </w:rPr>
      </w:pPr>
      <w:r w:rsidRPr="00EA25C9">
        <w:rPr>
          <w:rFonts w:eastAsia="SimSun"/>
          <w:szCs w:val="24"/>
          <w:lang w:eastAsia="zh-CN"/>
        </w:rPr>
        <w:t xml:space="preserve">     Soluția optimă pentru acest proiect constă în realizarea unei conducte de aducțiune apă potabilă din fontă ductilă FD DN 700 mm, în lungime totală de 246 ml, pe str. 24 Ianuarie, în continuarea conductei de aducțiune DN 800 mm, relocată, prin căminul de vane proiectat în intersecția străzilor 24 Ianuarie - Ștrandului(din cadrul proiectului “Pod peste râul Somes zona Strandului, în  mun. Satu Mare “). Conducta proiectată va fi leg întregită cu conducta de apă existentă, din otel OL 500mm prin intermediul unui camin de vane proiectat , la cca. 10 - 11 m distanță față de axul căii ferate.</w:t>
      </w:r>
    </w:p>
    <w:p w:rsidR="00EA25C9" w:rsidRPr="00EA25C9" w:rsidRDefault="00EA25C9" w:rsidP="00EA25C9">
      <w:pPr>
        <w:jc w:val="both"/>
        <w:rPr>
          <w:rFonts w:eastAsia="SimSun"/>
          <w:szCs w:val="24"/>
          <w:lang w:eastAsia="zh-CN"/>
        </w:rPr>
      </w:pPr>
      <w:r w:rsidRPr="00EA25C9">
        <w:rPr>
          <w:rFonts w:eastAsia="SimSun"/>
          <w:szCs w:val="24"/>
          <w:lang w:eastAsia="zh-CN"/>
        </w:rPr>
        <w:lastRenderedPageBreak/>
        <w:t xml:space="preserve"> Valoarea totală a obiectivului de investiții, exprimată în lei, conform Devizului general :</w:t>
      </w:r>
    </w:p>
    <w:p w:rsidR="00EA25C9" w:rsidRPr="00EA25C9" w:rsidRDefault="00EA25C9" w:rsidP="00EA25C9">
      <w:pPr>
        <w:jc w:val="both"/>
        <w:rPr>
          <w:rFonts w:eastAsia="SimSun"/>
          <w:szCs w:val="24"/>
          <w:lang w:eastAsia="zh-CN"/>
        </w:rPr>
      </w:pPr>
      <w:r w:rsidRPr="00EA25C9">
        <w:rPr>
          <w:rFonts w:eastAsia="SimSun"/>
          <w:szCs w:val="24"/>
          <w:lang w:eastAsia="zh-CN"/>
        </w:rPr>
        <w:t>411.399,15 lei fără TVA / 489.565 lei cu TVA, din care C+M :</w:t>
      </w:r>
    </w:p>
    <w:p w:rsidR="00EA25C9" w:rsidRPr="00EA25C9" w:rsidRDefault="00EA25C9" w:rsidP="00EA25C9">
      <w:pPr>
        <w:jc w:val="both"/>
        <w:rPr>
          <w:rFonts w:eastAsia="SimSun"/>
          <w:szCs w:val="24"/>
          <w:lang w:eastAsia="zh-CN"/>
        </w:rPr>
      </w:pPr>
      <w:r w:rsidRPr="00EA25C9">
        <w:rPr>
          <w:rFonts w:eastAsia="SimSun"/>
          <w:szCs w:val="24"/>
          <w:lang w:eastAsia="zh-CN"/>
        </w:rPr>
        <w:t>342.803,36 lei fără TVA / 407.936 lei cu TVA</w:t>
      </w:r>
    </w:p>
    <w:p w:rsidR="00EA25C9" w:rsidRPr="00EA25C9" w:rsidRDefault="00EA25C9" w:rsidP="00EA25C9">
      <w:pPr>
        <w:jc w:val="both"/>
        <w:rPr>
          <w:rFonts w:eastAsia="SimSun"/>
          <w:szCs w:val="24"/>
          <w:lang w:eastAsia="zh-CN"/>
        </w:rPr>
      </w:pPr>
      <w:r w:rsidRPr="00EA25C9">
        <w:rPr>
          <w:rFonts w:eastAsia="SimSun"/>
          <w:szCs w:val="24"/>
          <w:lang w:eastAsia="zh-CN"/>
        </w:rPr>
        <w:t>Durata de execuție estimată a investiției este de 6 luni.</w:t>
      </w:r>
    </w:p>
    <w:p w:rsidR="00EA25C9" w:rsidRPr="00EA25C9" w:rsidRDefault="00EA25C9" w:rsidP="00EA25C9">
      <w:pPr>
        <w:jc w:val="both"/>
        <w:rPr>
          <w:rFonts w:eastAsia="SimSun"/>
          <w:szCs w:val="24"/>
          <w:lang w:eastAsia="zh-CN"/>
        </w:rPr>
      </w:pPr>
      <w:r w:rsidRPr="00EA25C9">
        <w:rPr>
          <w:rFonts w:eastAsia="SimSun"/>
          <w:szCs w:val="24"/>
          <w:lang w:eastAsia="zh-CN"/>
        </w:rPr>
        <w:tab/>
        <w:t>Raportat la numărul de beneficiari costul unitar al investiției este 411.399,15 lei/60000 pers = 6,86 lei/persoană echivalent a 1,39 euro/persoană sub valoarea standardului de 1250 euro/locuitor definit pentru programul Anghel Saligny. (curs 1 euro = 4,9439 lei la data de 17.02.2022)</w:t>
      </w:r>
    </w:p>
    <w:p w:rsidR="00EA25C9" w:rsidRDefault="00EA25C9" w:rsidP="00EA25C9">
      <w:pPr>
        <w:jc w:val="both"/>
        <w:rPr>
          <w:rFonts w:eastAsia="SimSun"/>
          <w:szCs w:val="24"/>
          <w:lang w:eastAsia="zh-CN"/>
        </w:rPr>
      </w:pPr>
      <w:r w:rsidRPr="00EA25C9">
        <w:rPr>
          <w:rFonts w:eastAsia="SimSun"/>
          <w:szCs w:val="24"/>
          <w:lang w:eastAsia="zh-CN"/>
        </w:rPr>
        <w:t xml:space="preserve">  </w:t>
      </w:r>
      <w:r w:rsidRPr="00EA25C9">
        <w:rPr>
          <w:rFonts w:eastAsia="SimSun"/>
          <w:szCs w:val="24"/>
          <w:lang w:eastAsia="zh-CN"/>
        </w:rPr>
        <w:tab/>
        <w:t>Avizele și acordurile solicitate prin Certificatul de urbanism sunt obținute. Ridicarea topografică este întocmită și vizată de OCPI.</w:t>
      </w:r>
    </w:p>
    <w:p w:rsidR="00A63A65" w:rsidRPr="000730A2" w:rsidRDefault="002E56A4" w:rsidP="00EA25C9">
      <w:pPr>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w:t>
      </w:r>
      <w:r w:rsidR="00A63A65" w:rsidRPr="000730A2">
        <w:rPr>
          <w:rFonts w:eastAsiaTheme="minorHAnsi"/>
          <w:szCs w:val="24"/>
        </w:rPr>
        <w:t xml:space="preserve"> </w:t>
      </w:r>
      <w:r w:rsidR="002C0453" w:rsidRPr="000730A2">
        <w:rPr>
          <w:rFonts w:eastAsiaTheme="minorHAnsi"/>
          <w:szCs w:val="24"/>
        </w:rPr>
        <w:t>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w:t>
      </w:r>
      <w:r w:rsidR="00A63A65" w:rsidRPr="000730A2">
        <w:rPr>
          <w:rFonts w:eastAsiaTheme="minorHAnsi"/>
          <w:szCs w:val="24"/>
        </w:rPr>
        <w:t xml:space="preserve"> </w:t>
      </w:r>
      <w:r w:rsidR="002C0453" w:rsidRPr="000730A2">
        <w:rPr>
          <w:rFonts w:eastAsiaTheme="minorHAnsi"/>
          <w:szCs w:val="24"/>
        </w:rPr>
        <w:t>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w:t>
      </w:r>
      <w:r w:rsidR="00A63A65" w:rsidRPr="000730A2">
        <w:rPr>
          <w:rFonts w:eastAsiaTheme="minorHAnsi"/>
          <w:szCs w:val="24"/>
        </w:rPr>
        <w:t xml:space="preserve"> </w:t>
      </w:r>
      <w:r w:rsidR="002C0453" w:rsidRPr="000730A2">
        <w:rPr>
          <w:rFonts w:eastAsiaTheme="minorHAnsi"/>
          <w:szCs w:val="24"/>
        </w:rPr>
        <w:t>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rsidR="0058249B" w:rsidRDefault="0058249B" w:rsidP="005B174F">
      <w:pPr>
        <w:spacing w:after="0" w:line="240" w:lineRule="auto"/>
        <w:ind w:firstLine="720"/>
        <w:jc w:val="both"/>
        <w:rPr>
          <w:szCs w:val="24"/>
        </w:rPr>
      </w:pPr>
      <w:r w:rsidRPr="0058249B">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rsidR="00807850" w:rsidRDefault="0058249B" w:rsidP="0058249B">
      <w:pPr>
        <w:pStyle w:val="PlainText"/>
        <w:ind w:firstLine="720"/>
        <w:jc w:val="both"/>
        <w:rPr>
          <w:rFonts w:ascii="Times New Roman" w:hAnsi="Times New Roman" w:cs="Times New Roman"/>
          <w:sz w:val="24"/>
          <w:szCs w:val="24"/>
        </w:rPr>
      </w:pPr>
      <w:r w:rsidRPr="0058249B">
        <w:rPr>
          <w:rFonts w:ascii="Times New Roman" w:eastAsia="Calibri" w:hAnsi="Times New Roman" w:cs="Times New Roman"/>
          <w:sz w:val="24"/>
          <w:szCs w:val="24"/>
        </w:rPr>
        <w:t>Ținând cont și de documentația suport (Referatul privind înaintarea spre avizare Comisiei tehnico-economice a studiului de fezabilitate și a indicatorilor tehnico-economici ai obiectivului de investiție   ”</w:t>
      </w:r>
      <w:r w:rsidR="00EA25C9" w:rsidRPr="00EA25C9">
        <w:rPr>
          <w:rFonts w:ascii="Times New Roman" w:eastAsia="Calibri" w:hAnsi="Times New Roman" w:cs="Times New Roman"/>
          <w:sz w:val="24"/>
          <w:szCs w:val="24"/>
        </w:rPr>
        <w:t>Conductă de aducțiune apă potabilă pe str. 24 Ianuarie, mun.Satu Mare</w:t>
      </w:r>
      <w:r w:rsidRPr="0058249B">
        <w:rPr>
          <w:rFonts w:ascii="Times New Roman" w:eastAsia="Calibri" w:hAnsi="Times New Roman" w:cs="Times New Roman"/>
          <w:sz w:val="24"/>
          <w:szCs w:val="24"/>
        </w:rPr>
        <w:t>”, procesul verbal al Comisiei tehnico-economice, Studiul de fezabilitate  ”</w:t>
      </w:r>
      <w:r w:rsidR="00EA25C9" w:rsidRPr="00EA25C9">
        <w:rPr>
          <w:rFonts w:ascii="Times New Roman" w:eastAsia="Calibri" w:hAnsi="Times New Roman" w:cs="Times New Roman"/>
          <w:sz w:val="24"/>
          <w:szCs w:val="24"/>
        </w:rPr>
        <w:t>Conductă de aducțiune apă potabilă pe str. 24 Ianuarie, mun.Satu Mare</w:t>
      </w:r>
      <w:r w:rsidRPr="0058249B">
        <w:rPr>
          <w:rFonts w:ascii="Times New Roman" w:eastAsia="Calibri" w:hAnsi="Times New Roman" w:cs="Times New Roman"/>
          <w:sz w:val="24"/>
          <w:szCs w:val="24"/>
        </w:rPr>
        <w:t>”),  proiectul de hotărâre se înaintează Consiliului Local al Municipiului Satu Mare cu propunere de aprobare.</w:t>
      </w:r>
    </w:p>
    <w:p w:rsidR="005B174F" w:rsidRDefault="005B174F" w:rsidP="00351B0A">
      <w:pPr>
        <w:pStyle w:val="PlainText"/>
        <w:jc w:val="both"/>
        <w:rPr>
          <w:rFonts w:ascii="Times New Roman" w:hAnsi="Times New Roman" w:cs="Times New Roman"/>
          <w:sz w:val="24"/>
          <w:szCs w:val="24"/>
        </w:rPr>
      </w:pPr>
    </w:p>
    <w:p w:rsidR="00A73A74" w:rsidRPr="004D0D1D"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Pr="004D0D1D">
        <w:rPr>
          <w:rFonts w:ascii="Times New Roman" w:hAnsi="Times New Roman" w:cs="Times New Roman"/>
          <w:b/>
          <w:sz w:val="24"/>
          <w:szCs w:val="24"/>
        </w:rPr>
        <w:t xml:space="preserve">    </w:t>
      </w:r>
      <w:r w:rsidR="0086649E" w:rsidRPr="004D0D1D">
        <w:rPr>
          <w:rFonts w:ascii="Times New Roman" w:hAnsi="Times New Roman" w:cs="Times New Roman"/>
          <w:b/>
          <w:sz w:val="24"/>
          <w:szCs w:val="24"/>
        </w:rPr>
        <w:t xml:space="preserve">                     </w:t>
      </w:r>
      <w:r w:rsidR="002C0453" w:rsidRPr="004D0D1D">
        <w:rPr>
          <w:rFonts w:ascii="Times New Roman" w:hAnsi="Times New Roman" w:cs="Times New Roman"/>
          <w:b/>
          <w:sz w:val="24"/>
          <w:szCs w:val="24"/>
        </w:rPr>
        <w:t>Șef</w:t>
      </w:r>
      <w:r w:rsidRPr="004D0D1D">
        <w:rPr>
          <w:rFonts w:ascii="Times New Roman" w:hAnsi="Times New Roman" w:cs="Times New Roman"/>
          <w:b/>
          <w:sz w:val="24"/>
          <w:szCs w:val="24"/>
        </w:rPr>
        <w:t xml:space="preserve"> serviciu</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4D0D1D">
        <w:rPr>
          <w:rFonts w:ascii="Times New Roman" w:hAnsi="Times New Roman" w:cs="Times New Roman"/>
          <w:sz w:val="24"/>
          <w:szCs w:val="24"/>
        </w:rPr>
        <w:t xml:space="preserve"> </w:t>
      </w:r>
      <w:r w:rsidR="00CB282E">
        <w:rPr>
          <w:rFonts w:ascii="Times New Roman" w:hAnsi="Times New Roman" w:cs="Times New Roman"/>
          <w:sz w:val="24"/>
          <w:szCs w:val="24"/>
        </w:rPr>
        <w:t xml:space="preserve"> </w:t>
      </w:r>
      <w:r w:rsidR="0086649E" w:rsidRPr="006D1D46">
        <w:rPr>
          <w:rFonts w:ascii="Times New Roman" w:hAnsi="Times New Roman" w:cs="Times New Roman"/>
          <w:sz w:val="24"/>
          <w:szCs w:val="24"/>
        </w:rPr>
        <w:t>Ec.Ursu Lucica</w:t>
      </w:r>
      <w:r w:rsidRPr="006D1D46">
        <w:rPr>
          <w:rFonts w:ascii="Times New Roman" w:hAnsi="Times New Roman" w:cs="Times New Roman"/>
          <w:sz w:val="24"/>
          <w:szCs w:val="24"/>
        </w:rPr>
        <w:t xml:space="preserve">     </w:t>
      </w:r>
      <w:r w:rsidR="00A55E21" w:rsidRPr="006D1D46">
        <w:rPr>
          <w:rFonts w:ascii="Times New Roman" w:hAnsi="Times New Roman" w:cs="Times New Roman"/>
          <w:sz w:val="24"/>
          <w:szCs w:val="24"/>
        </w:rPr>
        <w:t xml:space="preserve">   </w:t>
      </w:r>
      <w:r w:rsidR="00D66225"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86649E"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4E014E" w:rsidRPr="006D1D46">
        <w:rPr>
          <w:rFonts w:ascii="Times New Roman" w:hAnsi="Times New Roman" w:cs="Times New Roman"/>
          <w:sz w:val="24"/>
          <w:szCs w:val="24"/>
        </w:rPr>
        <w:t xml:space="preserve">ing. Szűcs Zsigmond  </w:t>
      </w:r>
    </w:p>
    <w:p w:rsidR="00570841" w:rsidRPr="006D1D46" w:rsidRDefault="00570841" w:rsidP="00351B0A">
      <w:pPr>
        <w:pStyle w:val="PlainText"/>
        <w:jc w:val="both"/>
        <w:rPr>
          <w:rFonts w:ascii="Times New Roman" w:hAnsi="Times New Roman" w:cs="Times New Roman"/>
          <w:sz w:val="24"/>
          <w:szCs w:val="24"/>
        </w:rPr>
      </w:pPr>
    </w:p>
    <w:p w:rsidR="00DB4549" w:rsidRDefault="004E014E" w:rsidP="00A225F8">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p>
    <w:p w:rsidR="00DB4549" w:rsidRDefault="00DB4549" w:rsidP="00A225F8">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CB282E" w:rsidRDefault="00CB282E" w:rsidP="00A225F8">
      <w:pPr>
        <w:pStyle w:val="PlainText"/>
        <w:jc w:val="both"/>
        <w:rPr>
          <w:rFonts w:ascii="Times New Roman" w:hAnsi="Times New Roman" w:cs="Times New Roman"/>
          <w:sz w:val="24"/>
          <w:szCs w:val="24"/>
        </w:rPr>
      </w:pPr>
    </w:p>
    <w:p w:rsidR="005B174F" w:rsidRPr="006D1D46" w:rsidRDefault="005B174F" w:rsidP="00A225F8">
      <w:pPr>
        <w:pStyle w:val="PlainText"/>
        <w:jc w:val="both"/>
        <w:rPr>
          <w:rFonts w:ascii="Times New Roman" w:hAnsi="Times New Roman" w:cs="Times New Roman"/>
          <w:sz w:val="24"/>
          <w:szCs w:val="24"/>
        </w:rPr>
      </w:pPr>
    </w:p>
    <w:p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CB282E" w:rsidRPr="00807850">
        <w:rPr>
          <w:rFonts w:ascii="Times New Roman" w:eastAsia="Calibri" w:hAnsi="Times New Roman" w:cs="Times New Roman"/>
          <w:sz w:val="16"/>
          <w:szCs w:val="16"/>
        </w:rPr>
        <w:t xml:space="preserve"> </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E3" w:rsidRDefault="00C54AE3" w:rsidP="0011506A">
      <w:pPr>
        <w:spacing w:after="0" w:line="240" w:lineRule="auto"/>
      </w:pPr>
      <w:r>
        <w:separator/>
      </w:r>
    </w:p>
  </w:endnote>
  <w:endnote w:type="continuationSeparator" w:id="0">
    <w:p w:rsidR="00C54AE3" w:rsidRDefault="00C54AE3"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EA25C9">
              <w:rPr>
                <w:b/>
                <w:bCs/>
                <w:noProof/>
              </w:rPr>
              <w:t>1</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EA25C9">
              <w:rPr>
                <w:b/>
                <w:bCs/>
                <w:noProof/>
              </w:rPr>
              <w:t>2</w:t>
            </w:r>
            <w:r w:rsidR="006B1BD0">
              <w:rPr>
                <w:b/>
                <w:bCs/>
                <w:szCs w:val="24"/>
              </w:rPr>
              <w:fldChar w:fldCharType="end"/>
            </w:r>
          </w:p>
        </w:sdtContent>
      </w:sdt>
    </w:sdtContent>
  </w:sdt>
  <w:p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E3" w:rsidRDefault="00C54AE3" w:rsidP="0011506A">
      <w:pPr>
        <w:spacing w:after="0" w:line="240" w:lineRule="auto"/>
      </w:pPr>
      <w:r>
        <w:separator/>
      </w:r>
    </w:p>
  </w:footnote>
  <w:footnote w:type="continuationSeparator" w:id="0">
    <w:p w:rsidR="00C54AE3" w:rsidRDefault="00C54AE3"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4882"/>
    <w:rsid w:val="0016095E"/>
    <w:rsid w:val="00163B44"/>
    <w:rsid w:val="00165CF5"/>
    <w:rsid w:val="00167775"/>
    <w:rsid w:val="00170740"/>
    <w:rsid w:val="00191442"/>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72FD"/>
    <w:rsid w:val="0086649E"/>
    <w:rsid w:val="008706B5"/>
    <w:rsid w:val="00881562"/>
    <w:rsid w:val="008A1469"/>
    <w:rsid w:val="008B4D52"/>
    <w:rsid w:val="008C4C30"/>
    <w:rsid w:val="008C7037"/>
    <w:rsid w:val="008E13B6"/>
    <w:rsid w:val="00913EDE"/>
    <w:rsid w:val="00916EF1"/>
    <w:rsid w:val="009179E5"/>
    <w:rsid w:val="00930004"/>
    <w:rsid w:val="009349AD"/>
    <w:rsid w:val="00936EBF"/>
    <w:rsid w:val="009424D1"/>
    <w:rsid w:val="0095123F"/>
    <w:rsid w:val="00953E9C"/>
    <w:rsid w:val="009577FA"/>
    <w:rsid w:val="00973749"/>
    <w:rsid w:val="00984001"/>
    <w:rsid w:val="009928CD"/>
    <w:rsid w:val="00994971"/>
    <w:rsid w:val="009A16E9"/>
    <w:rsid w:val="009A3C4E"/>
    <w:rsid w:val="009B5A3E"/>
    <w:rsid w:val="009C7321"/>
    <w:rsid w:val="009C744A"/>
    <w:rsid w:val="009D1FF0"/>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3566"/>
    <w:rsid w:val="00C46383"/>
    <w:rsid w:val="00C46507"/>
    <w:rsid w:val="00C54AE3"/>
    <w:rsid w:val="00C562C5"/>
    <w:rsid w:val="00C653E4"/>
    <w:rsid w:val="00C66D68"/>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509D"/>
    <w:rsid w:val="00E24F5B"/>
    <w:rsid w:val="00E3290A"/>
    <w:rsid w:val="00E32C0C"/>
    <w:rsid w:val="00E56388"/>
    <w:rsid w:val="00E57C09"/>
    <w:rsid w:val="00E821A0"/>
    <w:rsid w:val="00EA25C9"/>
    <w:rsid w:val="00EA6546"/>
    <w:rsid w:val="00EC01EF"/>
    <w:rsid w:val="00EC7F85"/>
    <w:rsid w:val="00EF6837"/>
    <w:rsid w:val="00F02D24"/>
    <w:rsid w:val="00F03751"/>
    <w:rsid w:val="00F231C9"/>
    <w:rsid w:val="00F23EF5"/>
    <w:rsid w:val="00F316A6"/>
    <w:rsid w:val="00F508E7"/>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59341F2-96EA-48C2-BCA9-5FB5510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08597-7732-4661-9614-84E928B2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813</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62</cp:revision>
  <cp:lastPrinted>2021-07-06T08:11:00Z</cp:lastPrinted>
  <dcterms:created xsi:type="dcterms:W3CDTF">2021-05-21T05:06:00Z</dcterms:created>
  <dcterms:modified xsi:type="dcterms:W3CDTF">2022-02-18T11:14:00Z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