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41BB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Atribuţiile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postului</w:t>
      </w:r>
      <w:proofErr w:type="spellEnd"/>
      <w:r>
        <w:rPr>
          <w:rStyle w:val="FootnoteReference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:          </w:t>
      </w:r>
    </w:p>
    <w:p w14:paraId="78CFA9F4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14:paraId="51B7DBC4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smartTag w:uri="urn:schemas-microsoft-com:office:smarttags" w:element="place">
        <w:r>
          <w:rPr>
            <w:rFonts w:ascii="Times New Roman" w:hAnsi="Times New Roman" w:cs="Times New Roman"/>
            <w:sz w:val="24"/>
            <w:szCs w:val="24"/>
          </w:rPr>
          <w:t>PO</w:t>
        </w:r>
      </w:smartTag>
      <w:r>
        <w:rPr>
          <w:rFonts w:ascii="Times New Roman" w:hAnsi="Times New Roman" w:cs="Times New Roman"/>
          <w:sz w:val="24"/>
          <w:szCs w:val="24"/>
        </w:rPr>
        <w:t xml:space="preserve"> 05.1.03 – 05.1.06.:</w:t>
      </w:r>
    </w:p>
    <w:p w14:paraId="1576DE39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C37F964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legal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care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urbanism;</w:t>
      </w:r>
    </w:p>
    <w:p w14:paraId="5A672C25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compatibilităţii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31577D5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depistarea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neconcordanţelor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cadastrale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A311E7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amplasamentlului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investiţiei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FF2977E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deconcentrate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autorizării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8AAAF0A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- stabilirea, calcularea şi urmărirea încasării taxelor pentru emiterea certificatului de urbanism şi de prelungire a acestuia ( conform Codului fiscal)</w:t>
      </w:r>
    </w:p>
    <w:p w14:paraId="5709EC9F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- verificarea existenţei documentului de plată a taxei pentru eliberarea Certificatului de Urbanism;</w:t>
      </w:r>
    </w:p>
    <w:p w14:paraId="32C76F5F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- redactarea Certificatului de Urbanism;</w:t>
      </w:r>
    </w:p>
    <w:p w14:paraId="280860A9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- eliberarea Certificatului de Urbanism;</w:t>
      </w:r>
    </w:p>
    <w:p w14:paraId="6471025E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 xml:space="preserve">- asigurarea caracterului public al listei Certificatelor de Urbanism emise; </w:t>
      </w:r>
    </w:p>
    <w:p w14:paraId="5E74BB38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2. Organizarea şi participarea la dezbaterile publice privind documentaţiile de urbanism conform Ordinului nr. 2701/2010 şi a regulamentului local referitor la implicarea publicului în elaborarea sau revizuirea planurilor de urbanism sau de amenajare a teritoriului aprobate prin HCL 53 şi 160/2011 ; PO .05.1.09</w:t>
      </w:r>
    </w:p>
    <w:p w14:paraId="3F3F42D6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3 verificarea şi propunerea spre analiză Comisiei Tehnice de Urbanism şi Amenajarea Teritoriului a Studiilor de oportunitate în vederea fundamentării acestora de către C.T.U.A.T.</w:t>
      </w:r>
    </w:p>
    <w:p w14:paraId="78F3F05E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4. redactarea şi întocmirea  Avizelor prealabile de oportunitate în urma analizării documentaţiilor în cadrul Comisiei tehnice de Urbanism şi Amenajarea Teritoriului, în vederea emiterii acestuia de către Arhitectul Şef.; PO 05.1.07.</w:t>
      </w:r>
    </w:p>
    <w:p w14:paraId="4159442E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5.  Verificarea documentaţiilor de urbanism şi înaintarea acestora spre analiză Comisiei Tehnice de Urbanism şi Amenajarea Teritoriului; PO 05.1.07.</w:t>
      </w:r>
    </w:p>
    <w:p w14:paraId="18996045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6. participarea la şedinţele  Comisiei Tehnice de Urbanism şi Amenajarea Teritoriului , a Comisiei pentru stabilirea Avizelor şi  acordurilor legale strict necesare autorizării şi altele cu specific urbanistic;</w:t>
      </w:r>
    </w:p>
    <w:p w14:paraId="4F0EFC73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7. întocmire notei de fundamentare în urma analizării documentaţiilor de urbanism şi înaintarea acestuia arhitectului şef în vederea emiterii avizului.</w:t>
      </w:r>
    </w:p>
    <w:p w14:paraId="0CF7A943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252EE2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înştiinţarea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doucumentaţii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incomplete</w:t>
      </w:r>
    </w:p>
    <w:p w14:paraId="718448C6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A5DB4">
        <w:rPr>
          <w:rFonts w:ascii="Times New Roman" w:hAnsi="Times New Roman" w:cs="Times New Roman"/>
          <w:sz w:val="24"/>
          <w:szCs w:val="24"/>
          <w:lang w:val="it-IT"/>
        </w:rPr>
        <w:t>10. studierea şi însuşirea modificărilor apărute în legistaţie, cu privire la activitatea compartimentului;</w:t>
      </w:r>
    </w:p>
    <w:p w14:paraId="7AE8C85D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A5DB4">
        <w:rPr>
          <w:rFonts w:ascii="Times New Roman" w:hAnsi="Times New Roman" w:cs="Times New Roman"/>
          <w:sz w:val="24"/>
          <w:szCs w:val="24"/>
          <w:lang w:val="it-IT"/>
        </w:rPr>
        <w:lastRenderedPageBreak/>
        <w:t>11. participarea la cursuri de perfecţionare, conferinţe, seminarii, etc.</w:t>
      </w:r>
    </w:p>
    <w:p w14:paraId="4F5BA27A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A5DB4">
        <w:rPr>
          <w:rFonts w:ascii="Times New Roman" w:hAnsi="Times New Roman" w:cs="Times New Roman"/>
          <w:sz w:val="24"/>
          <w:szCs w:val="24"/>
          <w:lang w:val="it-IT"/>
        </w:rPr>
        <w:t>12. implementarea managementului de performanţă;</w:t>
      </w:r>
    </w:p>
    <w:p w14:paraId="0975048E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A5DB4">
        <w:rPr>
          <w:rFonts w:ascii="Times New Roman" w:hAnsi="Times New Roman" w:cs="Times New Roman"/>
          <w:sz w:val="24"/>
          <w:szCs w:val="24"/>
          <w:lang w:val="it-IT"/>
        </w:rPr>
        <w:t>13. relaţii cu publicul care solicită clarificări privind reglementările urbanistice, atât verbal cât şi telefonic</w:t>
      </w:r>
    </w:p>
    <w:p w14:paraId="693C7414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14. organizarea de acţiuni de verificare în vederea depistării neconcordanţelor privind documentaţiile  depuse spre emiterea CU şi situaţia reală din teren;</w:t>
      </w:r>
    </w:p>
    <w:p w14:paraId="4F3E21D2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A5DB4">
        <w:rPr>
          <w:rFonts w:ascii="Times New Roman" w:hAnsi="Times New Roman" w:cs="Times New Roman"/>
          <w:sz w:val="24"/>
          <w:szCs w:val="24"/>
          <w:lang w:val="it-IT"/>
        </w:rPr>
        <w:t>15. întocmirea, verificarea şi propunerea de emitere a avizelor către Consiliul Judeţean; PO 05.1.08.</w:t>
      </w:r>
    </w:p>
    <w:p w14:paraId="1DA4471D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A5DB4">
        <w:rPr>
          <w:rFonts w:ascii="Times New Roman" w:hAnsi="Times New Roman" w:cs="Times New Roman"/>
          <w:sz w:val="24"/>
          <w:szCs w:val="24"/>
          <w:lang w:val="it-IT"/>
        </w:rPr>
        <w:t>16. eliberarea  prelungirii CU, la solicitarea beneficiarului, calcularea taxei de prelungire şi urmărirea achitării acesteia; PO 05.1.06.</w:t>
      </w:r>
    </w:p>
    <w:p w14:paraId="4248E480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 xml:space="preserve">17. ţinerea evidenţei şi asigurarea protecţiei monumentelor istorice şi de arhitectură; </w:t>
      </w:r>
    </w:p>
    <w:p w14:paraId="0172C87D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18. îndeplinirea atribuţiilor privind exercitarea controlului asupra modului de respectare a documentaţiilor de amenajare a teritoriului şi de urbanism; luarea măsurilor prevăzute de lege în cazul nerespectării prevederilor din documentaţiile de amenajare a teritoriului şi de urbanism;</w:t>
      </w:r>
    </w:p>
    <w:p w14:paraId="2B82098D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19. urmărirea punerii în aplicare  a strategiilor de dezvoltare urbană, a politicilor urbane, precum şi a documentaţiilor de urbanism şi amenajare a teritoriului;</w:t>
      </w:r>
    </w:p>
    <w:p w14:paraId="36B52B29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20. colaborarea cu biroul SAC, BFC şi GIS în sensul asigurării bazei de date şi a informaţiilor.</w:t>
      </w:r>
    </w:p>
    <w:p w14:paraId="5F458711" w14:textId="77777777" w:rsidR="00D63644" w:rsidRPr="005A5DB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A5DB4">
        <w:rPr>
          <w:rFonts w:ascii="Times New Roman" w:hAnsi="Times New Roman" w:cs="Times New Roman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5A5DB4">
        <w:rPr>
          <w:rFonts w:ascii="Times New Roman" w:hAnsi="Times New Roman" w:cs="Times New Roman"/>
          <w:sz w:val="24"/>
          <w:szCs w:val="24"/>
          <w:lang w:val="pt-BR"/>
        </w:rPr>
        <w:t>. constată şi aplică amenzi contravenţionale şi urmăreşte încasarea acestor sume conform legii  50 /1991 republicată, actualizată, sume care constituie venituri la buget.</w:t>
      </w:r>
    </w:p>
    <w:p w14:paraId="095B7E22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întocmirea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transmiterea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informaţiilor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602817F" w14:textId="77777777" w:rsidR="00D63644" w:rsidRDefault="00D63644" w:rsidP="00D6364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23. alte sarcini primite de la şefii ierarhici superiori legate de activitatea direcţiei arhitectului şef.</w:t>
      </w:r>
    </w:p>
    <w:p w14:paraId="60B60B08" w14:textId="77777777" w:rsidR="00D63644" w:rsidRDefault="00D63644"/>
    <w:sectPr w:rsidR="00D63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A21D" w14:textId="77777777" w:rsidR="00D63644" w:rsidRDefault="00D63644" w:rsidP="00D63644">
      <w:pPr>
        <w:spacing w:after="0" w:line="240" w:lineRule="auto"/>
      </w:pPr>
      <w:r>
        <w:separator/>
      </w:r>
    </w:p>
  </w:endnote>
  <w:endnote w:type="continuationSeparator" w:id="0">
    <w:p w14:paraId="3ACD59DD" w14:textId="77777777" w:rsidR="00D63644" w:rsidRDefault="00D63644" w:rsidP="00D6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D917" w14:textId="77777777" w:rsidR="00D63644" w:rsidRDefault="00D63644" w:rsidP="00D63644">
      <w:pPr>
        <w:spacing w:after="0" w:line="240" w:lineRule="auto"/>
      </w:pPr>
      <w:r>
        <w:separator/>
      </w:r>
    </w:p>
  </w:footnote>
  <w:footnote w:type="continuationSeparator" w:id="0">
    <w:p w14:paraId="09581389" w14:textId="77777777" w:rsidR="00D63644" w:rsidRDefault="00D63644" w:rsidP="00D63644">
      <w:pPr>
        <w:spacing w:after="0" w:line="240" w:lineRule="auto"/>
      </w:pPr>
      <w:r>
        <w:continuationSeparator/>
      </w:r>
    </w:p>
  </w:footnote>
  <w:footnote w:id="1">
    <w:p w14:paraId="792E9FE1" w14:textId="77777777" w:rsidR="00D63644" w:rsidRDefault="00D63644" w:rsidP="00D63644">
      <w:pPr>
        <w:pStyle w:val="FootnoteText"/>
        <w:rPr>
          <w:sz w:val="12"/>
          <w:szCs w:val="12"/>
        </w:rPr>
      </w:pPr>
      <w:r>
        <w:rPr>
          <w:rStyle w:val="FootnoteReference"/>
          <w:sz w:val="12"/>
          <w:szCs w:val="12"/>
        </w:rPr>
        <w:footnoteRef/>
      </w:r>
      <w:r>
        <w:rPr>
          <w:sz w:val="12"/>
          <w:szCs w:val="12"/>
        </w:rPr>
        <w:t xml:space="preserve"> Se </w:t>
      </w:r>
      <w:proofErr w:type="spellStart"/>
      <w:r>
        <w:rPr>
          <w:sz w:val="12"/>
          <w:szCs w:val="12"/>
        </w:rPr>
        <w:t>stabilesc</w:t>
      </w:r>
      <w:proofErr w:type="spellEnd"/>
      <w:r>
        <w:rPr>
          <w:sz w:val="12"/>
          <w:szCs w:val="12"/>
        </w:rPr>
        <w:t xml:space="preserve"> pe </w:t>
      </w:r>
      <w:proofErr w:type="spellStart"/>
      <w:r>
        <w:rPr>
          <w:sz w:val="12"/>
          <w:szCs w:val="12"/>
        </w:rPr>
        <w:t>baza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activităţilor</w:t>
      </w:r>
      <w:proofErr w:type="spellEnd"/>
      <w:r>
        <w:rPr>
          <w:sz w:val="12"/>
          <w:szCs w:val="12"/>
        </w:rPr>
        <w:t xml:space="preserve"> care </w:t>
      </w:r>
      <w:proofErr w:type="spellStart"/>
      <w:r>
        <w:rPr>
          <w:sz w:val="12"/>
          <w:szCs w:val="12"/>
        </w:rPr>
        <w:t>presupun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exercitarea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prerogativelor</w:t>
      </w:r>
      <w:proofErr w:type="spellEnd"/>
      <w:r>
        <w:rPr>
          <w:sz w:val="12"/>
          <w:szCs w:val="12"/>
        </w:rPr>
        <w:t xml:space="preserve"> de </w:t>
      </w:r>
      <w:proofErr w:type="spellStart"/>
      <w:r>
        <w:rPr>
          <w:sz w:val="12"/>
          <w:szCs w:val="12"/>
        </w:rPr>
        <w:t>putere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publică</w:t>
      </w:r>
      <w:proofErr w:type="spellEnd"/>
      <w:r>
        <w:rPr>
          <w:sz w:val="12"/>
          <w:szCs w:val="12"/>
        </w:rPr>
        <w:t xml:space="preserve">, </w:t>
      </w:r>
      <w:proofErr w:type="spellStart"/>
      <w:r>
        <w:rPr>
          <w:sz w:val="12"/>
          <w:szCs w:val="12"/>
        </w:rPr>
        <w:t>în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concordanţă</w:t>
      </w:r>
      <w:proofErr w:type="spellEnd"/>
      <w:r>
        <w:rPr>
          <w:sz w:val="12"/>
          <w:szCs w:val="12"/>
        </w:rPr>
        <w:t xml:space="preserve"> cu </w:t>
      </w:r>
      <w:proofErr w:type="spellStart"/>
      <w:r>
        <w:rPr>
          <w:sz w:val="12"/>
          <w:szCs w:val="12"/>
        </w:rPr>
        <w:t>specificul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funcţiei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publice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corespunzătoare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postului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44"/>
    <w:rsid w:val="00D6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1116392C"/>
  <w15:chartTrackingRefBased/>
  <w15:docId w15:val="{55D857EC-4E0D-4402-8DE5-F72B2FC4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636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D63644"/>
    <w:rPr>
      <w:rFonts w:ascii="Courier New" w:eastAsia="Times New Roman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D63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6364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D63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Timaru</dc:creator>
  <cp:keywords/>
  <dc:description/>
  <cp:lastModifiedBy>Dana Timaru</cp:lastModifiedBy>
  <cp:revision>1</cp:revision>
  <dcterms:created xsi:type="dcterms:W3CDTF">2021-12-16T12:43:00Z</dcterms:created>
  <dcterms:modified xsi:type="dcterms:W3CDTF">2021-12-16T12:44:00Z</dcterms:modified>
</cp:coreProperties>
</file>